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EF3" w:rsidRPr="008F0108" w:rsidRDefault="006B6B2A" w:rsidP="006B6B2A">
      <w:pPr>
        <w:pStyle w:val="Default"/>
        <w:spacing w:after="240"/>
        <w:jc w:val="center"/>
        <w:rPr>
          <w:b/>
          <w:bCs/>
          <w:sz w:val="32"/>
          <w:szCs w:val="32"/>
        </w:rPr>
      </w:pPr>
      <w:r w:rsidRPr="006B6B2A">
        <w:rPr>
          <w:b/>
          <w:bCs/>
          <w:sz w:val="32"/>
          <w:szCs w:val="32"/>
        </w:rPr>
        <w:t>VISTA Assignment Description (V</w:t>
      </w:r>
      <w:r w:rsidRPr="008F0108">
        <w:rPr>
          <w:b/>
          <w:bCs/>
          <w:sz w:val="32"/>
          <w:szCs w:val="32"/>
        </w:rPr>
        <w:t>AD)</w:t>
      </w:r>
      <w:r w:rsidR="0004128E" w:rsidRPr="008F0108">
        <w:rPr>
          <w:b/>
          <w:bCs/>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B6B2A" w:rsidRPr="00930F67" w:rsidTr="00930F67">
        <w:tc>
          <w:tcPr>
            <w:tcW w:w="10296" w:type="dxa"/>
            <w:shd w:val="clear" w:color="auto" w:fill="auto"/>
          </w:tcPr>
          <w:p w:rsidR="006B6B2A" w:rsidRPr="00930F67" w:rsidRDefault="006B6B2A" w:rsidP="00B86F63">
            <w:pPr>
              <w:pStyle w:val="Default"/>
              <w:rPr>
                <w:bCs/>
              </w:rPr>
            </w:pPr>
            <w:r w:rsidRPr="008F0108">
              <w:rPr>
                <w:b/>
                <w:bCs/>
              </w:rPr>
              <w:t xml:space="preserve">Title: </w:t>
            </w:r>
            <w:r w:rsidR="00DA1A6C" w:rsidRPr="008F0108">
              <w:rPr>
                <w:bCs/>
              </w:rPr>
              <w:t xml:space="preserve"> </w:t>
            </w:r>
            <w:bookmarkStart w:id="0" w:name="_Hlk489879079"/>
            <w:r w:rsidR="008F0108" w:rsidRPr="008F0108">
              <w:rPr>
                <w:bCs/>
              </w:rPr>
              <w:t>New Mexico Cyber Security Cluster</w:t>
            </w:r>
            <w:r w:rsidR="00D74F5B" w:rsidRPr="008F0108">
              <w:rPr>
                <w:bCs/>
              </w:rPr>
              <w:t xml:space="preserve"> </w:t>
            </w:r>
            <w:r w:rsidR="008F0108" w:rsidRPr="008F0108">
              <w:rPr>
                <w:bCs/>
              </w:rPr>
              <w:t xml:space="preserve">Development </w:t>
            </w:r>
            <w:r w:rsidR="00D74F5B" w:rsidRPr="008F0108">
              <w:rPr>
                <w:bCs/>
              </w:rPr>
              <w:t>VISTA</w:t>
            </w:r>
            <w:bookmarkEnd w:id="0"/>
            <w:r w:rsidR="00284C3E">
              <w:rPr>
                <w:bCs/>
              </w:rPr>
              <w:t xml:space="preserve"> Volunteer</w:t>
            </w:r>
          </w:p>
        </w:tc>
      </w:tr>
      <w:tr w:rsidR="006B6B2A" w:rsidRPr="00930F67" w:rsidTr="00930F67">
        <w:tc>
          <w:tcPr>
            <w:tcW w:w="10296" w:type="dxa"/>
            <w:shd w:val="clear" w:color="auto" w:fill="auto"/>
          </w:tcPr>
          <w:p w:rsidR="006B6B2A" w:rsidRPr="00930F67" w:rsidRDefault="006B6B2A" w:rsidP="006B6B2A">
            <w:pPr>
              <w:pStyle w:val="Default"/>
              <w:rPr>
                <w:bCs/>
              </w:rPr>
            </w:pPr>
            <w:r w:rsidRPr="00930F67">
              <w:rPr>
                <w:b/>
                <w:bCs/>
              </w:rPr>
              <w:t xml:space="preserve">Sponsoring Organization: </w:t>
            </w:r>
            <w:r w:rsidR="00DA1A6C" w:rsidRPr="00930F67">
              <w:rPr>
                <w:bCs/>
              </w:rPr>
              <w:t xml:space="preserve"> </w:t>
            </w:r>
            <w:r w:rsidR="00D74F5B">
              <w:rPr>
                <w:bCs/>
              </w:rPr>
              <w:t>U.S. Economic Development Administration</w:t>
            </w:r>
            <w:r w:rsidR="00B86F63">
              <w:rPr>
                <w:bCs/>
              </w:rPr>
              <w:t xml:space="preserve"> </w:t>
            </w:r>
            <w:r w:rsidR="008F0108">
              <w:rPr>
                <w:bCs/>
              </w:rPr>
              <w:t>and North Central New Mexico Economic Development District</w:t>
            </w:r>
          </w:p>
          <w:p w:rsidR="008F0108" w:rsidRDefault="006B6B2A" w:rsidP="006B6B2A">
            <w:pPr>
              <w:pStyle w:val="Default"/>
              <w:rPr>
                <w:bCs/>
              </w:rPr>
            </w:pPr>
            <w:r w:rsidRPr="00930F67">
              <w:rPr>
                <w:b/>
                <w:bCs/>
              </w:rPr>
              <w:t xml:space="preserve">Project Name: </w:t>
            </w:r>
            <w:r w:rsidR="008F0108" w:rsidRPr="008F0108">
              <w:rPr>
                <w:bCs/>
              </w:rPr>
              <w:t>New Mexico Cyber Security Cluster Development</w:t>
            </w:r>
          </w:p>
          <w:p w:rsidR="006B6B2A" w:rsidRPr="00930F67" w:rsidRDefault="006B6B2A" w:rsidP="006B6B2A">
            <w:pPr>
              <w:pStyle w:val="Default"/>
              <w:rPr>
                <w:bCs/>
              </w:rPr>
            </w:pPr>
            <w:r w:rsidRPr="00930F67">
              <w:rPr>
                <w:b/>
                <w:bCs/>
              </w:rPr>
              <w:t xml:space="preserve">Project Number: </w:t>
            </w:r>
            <w:r w:rsidR="00DA1A6C" w:rsidRPr="00930F67">
              <w:rPr>
                <w:bCs/>
              </w:rPr>
              <w:t xml:space="preserve"> </w:t>
            </w:r>
            <w:r w:rsidR="00B86F63">
              <w:rPr>
                <w:bCs/>
              </w:rPr>
              <w:t>16VSWX003</w:t>
            </w:r>
          </w:p>
          <w:p w:rsidR="006B6B2A" w:rsidRPr="00930F67" w:rsidRDefault="006B6B2A" w:rsidP="00B86F63">
            <w:pPr>
              <w:pStyle w:val="Default"/>
            </w:pPr>
            <w:r w:rsidRPr="00930F67">
              <w:rPr>
                <w:b/>
                <w:bCs/>
              </w:rPr>
              <w:t xml:space="preserve">Project Period: </w:t>
            </w:r>
            <w:r w:rsidR="00DA1A6C" w:rsidRPr="00930F67">
              <w:t xml:space="preserve"> </w:t>
            </w:r>
            <w:r w:rsidR="00B86F63">
              <w:t>11/06</w:t>
            </w:r>
            <w:r w:rsidR="00D74F5B">
              <w:t>/2017</w:t>
            </w:r>
            <w:r w:rsidR="00DA1A6C" w:rsidRPr="00930F67">
              <w:t xml:space="preserve"> – </w:t>
            </w:r>
            <w:r w:rsidR="00B86F63">
              <w:t>11/05</w:t>
            </w:r>
            <w:r w:rsidR="00D74F5B">
              <w:t>/2018</w:t>
            </w:r>
            <w:r w:rsidR="00DA1A6C" w:rsidRPr="00930F67">
              <w:t xml:space="preserve"> </w:t>
            </w:r>
          </w:p>
        </w:tc>
      </w:tr>
      <w:tr w:rsidR="006B6B2A" w:rsidRPr="00930F67" w:rsidTr="00930F67">
        <w:tc>
          <w:tcPr>
            <w:tcW w:w="10296" w:type="dxa"/>
            <w:shd w:val="clear" w:color="auto" w:fill="auto"/>
          </w:tcPr>
          <w:p w:rsidR="006B6B2A" w:rsidRPr="008F0108" w:rsidRDefault="006B6B2A" w:rsidP="00B86F63">
            <w:pPr>
              <w:pStyle w:val="Default"/>
              <w:rPr>
                <w:bCs/>
              </w:rPr>
            </w:pPr>
            <w:r w:rsidRPr="00930F67">
              <w:rPr>
                <w:b/>
                <w:bCs/>
              </w:rPr>
              <w:t>Site Name (if applicable):</w:t>
            </w:r>
            <w:r w:rsidR="00D74F5B">
              <w:rPr>
                <w:b/>
                <w:bCs/>
              </w:rPr>
              <w:t xml:space="preserve"> </w:t>
            </w:r>
            <w:r w:rsidR="008F0108">
              <w:rPr>
                <w:bCs/>
              </w:rPr>
              <w:t>Albuquerque</w:t>
            </w:r>
            <w:r w:rsidR="00216E24">
              <w:rPr>
                <w:bCs/>
              </w:rPr>
              <w:t xml:space="preserve"> or </w:t>
            </w:r>
            <w:r w:rsidR="008F0108">
              <w:rPr>
                <w:bCs/>
              </w:rPr>
              <w:t>Santa Fe, flexible depending on candidate</w:t>
            </w:r>
          </w:p>
        </w:tc>
      </w:tr>
      <w:tr w:rsidR="006B6B2A" w:rsidRPr="00930F67" w:rsidTr="00930F67">
        <w:tc>
          <w:tcPr>
            <w:tcW w:w="10296" w:type="dxa"/>
            <w:shd w:val="clear" w:color="auto" w:fill="auto"/>
          </w:tcPr>
          <w:p w:rsidR="006B6B2A" w:rsidRPr="00930F67" w:rsidRDefault="006B6B2A" w:rsidP="006B6B2A">
            <w:pPr>
              <w:pStyle w:val="Default"/>
              <w:rPr>
                <w:b/>
                <w:bCs/>
              </w:rPr>
            </w:pPr>
            <w:r w:rsidRPr="00930F67">
              <w:rPr>
                <w:b/>
                <w:bCs/>
              </w:rPr>
              <w:t>Focus Area(s)</w:t>
            </w:r>
          </w:p>
          <w:p w:rsidR="006B6B2A" w:rsidRPr="00930F67" w:rsidRDefault="006B6B2A" w:rsidP="00930F67">
            <w:pPr>
              <w:pStyle w:val="Default"/>
              <w:ind w:left="180"/>
              <w:rPr>
                <w:bCs/>
              </w:rPr>
            </w:pPr>
            <w:r w:rsidRPr="00930F67">
              <w:rPr>
                <w:b/>
                <w:bCs/>
              </w:rPr>
              <w:t xml:space="preserve">Primary: </w:t>
            </w:r>
            <w:r w:rsidR="00DA1A6C" w:rsidRPr="00930F67">
              <w:rPr>
                <w:bCs/>
              </w:rPr>
              <w:t xml:space="preserve"> </w:t>
            </w:r>
            <w:r w:rsidR="008F0108">
              <w:rPr>
                <w:bCs/>
              </w:rPr>
              <w:t>Economic Opportunity</w:t>
            </w:r>
          </w:p>
          <w:p w:rsidR="006B6B2A" w:rsidRPr="00930F67" w:rsidRDefault="006B6B2A" w:rsidP="00930F67">
            <w:pPr>
              <w:pStyle w:val="Default"/>
              <w:ind w:left="180"/>
              <w:rPr>
                <w:b/>
                <w:bCs/>
              </w:rPr>
            </w:pPr>
            <w:r w:rsidRPr="00930F67">
              <w:rPr>
                <w:b/>
                <w:bCs/>
              </w:rPr>
              <w:t>Secondary:</w:t>
            </w:r>
            <w:r w:rsidR="00DA1A6C" w:rsidRPr="00930F67">
              <w:rPr>
                <w:bCs/>
              </w:rPr>
              <w:t xml:space="preserve"> </w:t>
            </w:r>
            <w:r w:rsidR="008F0108">
              <w:rPr>
                <w:bCs/>
              </w:rPr>
              <w:t>Regionalism</w:t>
            </w:r>
          </w:p>
        </w:tc>
      </w:tr>
    </w:tbl>
    <w:p w:rsidR="006B6B2A" w:rsidRPr="00D579D1" w:rsidRDefault="006B6B2A" w:rsidP="006B6B2A">
      <w:pPr>
        <w:pStyle w:val="Defaul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71121B" w:rsidRPr="00930F67" w:rsidTr="00930F67">
        <w:tc>
          <w:tcPr>
            <w:tcW w:w="10296" w:type="dxa"/>
            <w:shd w:val="clear" w:color="auto" w:fill="000000"/>
          </w:tcPr>
          <w:p w:rsidR="0071121B" w:rsidRPr="00930F67" w:rsidRDefault="0071121B" w:rsidP="00D579D1">
            <w:pPr>
              <w:pStyle w:val="Default"/>
              <w:rPr>
                <w:bCs/>
                <w:color w:val="FFFFFF"/>
                <w:sz w:val="32"/>
                <w:szCs w:val="32"/>
              </w:rPr>
            </w:pPr>
            <w:r w:rsidRPr="00930F67">
              <w:rPr>
                <w:b/>
                <w:bCs/>
                <w:color w:val="FFFFFF"/>
                <w:sz w:val="32"/>
                <w:szCs w:val="32"/>
              </w:rPr>
              <w:t>VISTA Assignment Objectives and Member Activities</w:t>
            </w:r>
          </w:p>
        </w:tc>
      </w:tr>
      <w:tr w:rsidR="0071121B" w:rsidRPr="00930F67" w:rsidTr="00930F67">
        <w:tc>
          <w:tcPr>
            <w:tcW w:w="10296" w:type="dxa"/>
            <w:shd w:val="clear" w:color="auto" w:fill="auto"/>
          </w:tcPr>
          <w:p w:rsidR="005263A1" w:rsidRPr="00930F67" w:rsidRDefault="005263A1" w:rsidP="003E27D3">
            <w:pPr>
              <w:pStyle w:val="Default"/>
              <w:rPr>
                <w:b/>
                <w:bCs/>
              </w:rPr>
            </w:pPr>
          </w:p>
          <w:p w:rsidR="00460F36" w:rsidRDefault="0071121B" w:rsidP="00460F36">
            <w:pPr>
              <w:pStyle w:val="Default"/>
            </w:pPr>
            <w:r w:rsidRPr="00930F67">
              <w:rPr>
                <w:b/>
                <w:bCs/>
              </w:rPr>
              <w:t>Goal of the Project:</w:t>
            </w:r>
            <w:r w:rsidR="00D579D1" w:rsidRPr="00930F67">
              <w:rPr>
                <w:b/>
                <w:bCs/>
              </w:rPr>
              <w:t xml:space="preserve"> </w:t>
            </w:r>
            <w:r w:rsidR="00460F36">
              <w:rPr>
                <w:bCs/>
              </w:rPr>
              <w:t xml:space="preserve">The Year One objective of this VISTA project is to create a cyber security cluster </w:t>
            </w:r>
            <w:r w:rsidR="00460F36">
              <w:t>business development plan for the State of New Mexico.</w:t>
            </w:r>
          </w:p>
          <w:p w:rsidR="0071121B" w:rsidRPr="00930F67" w:rsidRDefault="0071121B" w:rsidP="00460F36">
            <w:pPr>
              <w:pStyle w:val="Default"/>
              <w:rPr>
                <w:bCs/>
              </w:rPr>
            </w:pPr>
          </w:p>
        </w:tc>
      </w:tr>
      <w:tr w:rsidR="0071121B" w:rsidRPr="00930F67" w:rsidTr="00930F67">
        <w:tc>
          <w:tcPr>
            <w:tcW w:w="10296" w:type="dxa"/>
            <w:shd w:val="clear" w:color="auto" w:fill="auto"/>
          </w:tcPr>
          <w:p w:rsidR="005263A1" w:rsidRPr="00930F67" w:rsidRDefault="005263A1" w:rsidP="0071121B">
            <w:pPr>
              <w:pStyle w:val="Default"/>
              <w:rPr>
                <w:b/>
                <w:bCs/>
              </w:rPr>
            </w:pPr>
          </w:p>
          <w:p w:rsidR="0071121B" w:rsidRDefault="0071121B" w:rsidP="0071121B">
            <w:pPr>
              <w:pStyle w:val="Default"/>
              <w:rPr>
                <w:b/>
                <w:bCs/>
                <w:i/>
              </w:rPr>
            </w:pPr>
            <w:r w:rsidRPr="00930F67">
              <w:rPr>
                <w:b/>
                <w:bCs/>
              </w:rPr>
              <w:t>Objective</w:t>
            </w:r>
            <w:r w:rsidR="00460F36">
              <w:rPr>
                <w:b/>
                <w:bCs/>
              </w:rPr>
              <w:t>s</w:t>
            </w:r>
            <w:r w:rsidRPr="00930F67">
              <w:rPr>
                <w:b/>
                <w:bCs/>
              </w:rPr>
              <w:t xml:space="preserve"> of the Assignment </w:t>
            </w:r>
            <w:r w:rsidRPr="008F0108">
              <w:rPr>
                <w:b/>
                <w:bCs/>
              </w:rPr>
              <w:t>(</w:t>
            </w:r>
            <w:r w:rsidR="00B86F63" w:rsidRPr="008F0108">
              <w:rPr>
                <w:b/>
                <w:bCs/>
                <w:i/>
              </w:rPr>
              <w:t xml:space="preserve">November 2017 – </w:t>
            </w:r>
            <w:r w:rsidR="008F0108" w:rsidRPr="008F0108">
              <w:rPr>
                <w:b/>
                <w:bCs/>
                <w:i/>
              </w:rPr>
              <w:t xml:space="preserve">November </w:t>
            </w:r>
            <w:r w:rsidR="00B86F63" w:rsidRPr="008F0108">
              <w:rPr>
                <w:b/>
                <w:bCs/>
                <w:i/>
              </w:rPr>
              <w:t>2018</w:t>
            </w:r>
            <w:r w:rsidRPr="008F0108">
              <w:rPr>
                <w:b/>
                <w:bCs/>
                <w:i/>
              </w:rPr>
              <w:t>)</w:t>
            </w:r>
          </w:p>
          <w:p w:rsidR="008F0108" w:rsidRDefault="008F0108" w:rsidP="0071121B">
            <w:pPr>
              <w:pStyle w:val="Default"/>
              <w:rPr>
                <w:b/>
                <w:bCs/>
                <w:i/>
              </w:rPr>
            </w:pPr>
          </w:p>
          <w:p w:rsidR="009E318C" w:rsidRDefault="009E318C" w:rsidP="009E318C">
            <w:pPr>
              <w:pStyle w:val="Default"/>
              <w:numPr>
                <w:ilvl w:val="0"/>
                <w:numId w:val="20"/>
              </w:numPr>
              <w:rPr>
                <w:bCs/>
              </w:rPr>
            </w:pPr>
            <w:r w:rsidRPr="009E318C">
              <w:rPr>
                <w:b/>
                <w:bCs/>
              </w:rPr>
              <w:t>Month 1.</w:t>
            </w:r>
            <w:r>
              <w:rPr>
                <w:bCs/>
              </w:rPr>
              <w:t xml:space="preserve"> </w:t>
            </w:r>
            <w:r w:rsidRPr="008F0108">
              <w:rPr>
                <w:bCs/>
              </w:rPr>
              <w:t>Prepare a comparative analysis of national and state policies and economic development strategies pertaining to this cluster.  Collect and study cyber security sector legislation and reports.</w:t>
            </w:r>
            <w:r>
              <w:rPr>
                <w:bCs/>
              </w:rPr>
              <w:t xml:space="preserve">  Compile elements of state policy and program into matrices showing how different states handle each element.</w:t>
            </w:r>
          </w:p>
          <w:p w:rsidR="009E318C" w:rsidRDefault="009E318C" w:rsidP="009E318C">
            <w:pPr>
              <w:pStyle w:val="Default"/>
              <w:ind w:left="720"/>
              <w:rPr>
                <w:bCs/>
              </w:rPr>
            </w:pPr>
          </w:p>
          <w:p w:rsidR="009E318C" w:rsidRPr="009E318C" w:rsidRDefault="009E318C" w:rsidP="009E318C">
            <w:pPr>
              <w:pStyle w:val="Default"/>
              <w:numPr>
                <w:ilvl w:val="0"/>
                <w:numId w:val="20"/>
              </w:numPr>
              <w:rPr>
                <w:bCs/>
              </w:rPr>
            </w:pPr>
            <w:r w:rsidRPr="009E318C">
              <w:rPr>
                <w:b/>
              </w:rPr>
              <w:t xml:space="preserve">Month 1. </w:t>
            </w:r>
            <w:r w:rsidRPr="009E318C">
              <w:t>Work with Congressional delegation offices to d</w:t>
            </w:r>
            <w:r w:rsidRPr="009E318C">
              <w:t xml:space="preserve">evelop a cyber security federal funding </w:t>
            </w:r>
            <w:r>
              <w:t xml:space="preserve">and contracting </w:t>
            </w:r>
            <w:r w:rsidRPr="009E318C">
              <w:t>pipeline calendar;</w:t>
            </w:r>
          </w:p>
          <w:p w:rsidR="00460F36" w:rsidRDefault="00460F36" w:rsidP="009E318C">
            <w:pPr>
              <w:pStyle w:val="Default"/>
              <w:ind w:left="720"/>
            </w:pPr>
          </w:p>
          <w:p w:rsidR="009E318C" w:rsidRPr="008F0108" w:rsidRDefault="009E318C" w:rsidP="009E318C">
            <w:pPr>
              <w:pStyle w:val="Default"/>
              <w:numPr>
                <w:ilvl w:val="0"/>
                <w:numId w:val="20"/>
              </w:numPr>
              <w:rPr>
                <w:bCs/>
              </w:rPr>
            </w:pPr>
            <w:r w:rsidRPr="009E318C">
              <w:rPr>
                <w:b/>
                <w:bCs/>
              </w:rPr>
              <w:t>Month 2.</w:t>
            </w:r>
            <w:r>
              <w:rPr>
                <w:bCs/>
              </w:rPr>
              <w:t xml:space="preserve"> Research and d</w:t>
            </w:r>
            <w:r w:rsidRPr="008F0108">
              <w:rPr>
                <w:bCs/>
              </w:rPr>
              <w:t xml:space="preserve">iagram the State’s corporate cyber security institutional landscape to include description and contact information for all private sector firms and public agencies working in the area; supporting institutions; educational </w:t>
            </w:r>
            <w:bookmarkStart w:id="1" w:name="_GoBack"/>
            <w:bookmarkEnd w:id="1"/>
            <w:r w:rsidRPr="008F0108">
              <w:rPr>
                <w:bCs/>
              </w:rPr>
              <w:t xml:space="preserve">programs; investment firms. </w:t>
            </w:r>
          </w:p>
          <w:p w:rsidR="009E318C" w:rsidRDefault="009E318C" w:rsidP="009E318C">
            <w:pPr>
              <w:pStyle w:val="Default"/>
              <w:ind w:left="720"/>
            </w:pPr>
          </w:p>
          <w:p w:rsidR="00460F36" w:rsidRPr="00460F36" w:rsidRDefault="009E318C" w:rsidP="009E318C">
            <w:pPr>
              <w:pStyle w:val="Default"/>
              <w:numPr>
                <w:ilvl w:val="0"/>
                <w:numId w:val="20"/>
              </w:numPr>
            </w:pPr>
            <w:r w:rsidRPr="009E318C">
              <w:rPr>
                <w:b/>
              </w:rPr>
              <w:t>Month 3.</w:t>
            </w:r>
            <w:r>
              <w:t xml:space="preserve"> </w:t>
            </w:r>
            <w:r w:rsidR="00460F36" w:rsidRPr="00460F36">
              <w:t>Inventory cyber security tech transfer opportunities locally, nationally, and globally;</w:t>
            </w:r>
          </w:p>
          <w:p w:rsidR="00460F36" w:rsidRDefault="00460F36" w:rsidP="009E318C">
            <w:pPr>
              <w:pStyle w:val="Default"/>
              <w:ind w:left="720"/>
            </w:pPr>
          </w:p>
          <w:p w:rsidR="009E318C" w:rsidRPr="009E318C" w:rsidRDefault="009E318C" w:rsidP="009E318C">
            <w:pPr>
              <w:pStyle w:val="Default"/>
              <w:numPr>
                <w:ilvl w:val="0"/>
                <w:numId w:val="20"/>
              </w:numPr>
            </w:pPr>
            <w:r w:rsidRPr="009E318C">
              <w:rPr>
                <w:b/>
                <w:bCs/>
              </w:rPr>
              <w:t>Month 4.</w:t>
            </w:r>
            <w:r w:rsidRPr="009E318C">
              <w:rPr>
                <w:bCs/>
              </w:rPr>
              <w:t xml:space="preserve"> </w:t>
            </w:r>
            <w:r w:rsidRPr="009E318C">
              <w:rPr>
                <w:bCs/>
              </w:rPr>
              <w:t>Identify and utilize intelligent methods to rapidly create thumbnail assessments of submarket potentials with an emphasis on publicly available market research.  Evaluate potential subsector emphases for possible niche market targeting, i.e. national security, medical devices, electrical grid protection, corporate education and training services, etc.  Create industry factsheets summarizing major growth opportunities for review by cluster stakeholders.</w:t>
            </w:r>
          </w:p>
          <w:p w:rsidR="009E318C" w:rsidRDefault="009E318C" w:rsidP="009E318C">
            <w:pPr>
              <w:pStyle w:val="ListParagraph"/>
              <w:spacing w:after="0" w:line="240" w:lineRule="auto"/>
              <w:ind w:left="0"/>
              <w:rPr>
                <w:bCs/>
              </w:rPr>
            </w:pPr>
          </w:p>
          <w:p w:rsidR="009E318C" w:rsidRPr="00460F36" w:rsidRDefault="009E318C" w:rsidP="009E318C">
            <w:pPr>
              <w:pStyle w:val="Default"/>
              <w:numPr>
                <w:ilvl w:val="0"/>
                <w:numId w:val="20"/>
              </w:numPr>
            </w:pPr>
            <w:r w:rsidRPr="009E318C">
              <w:rPr>
                <w:b/>
                <w:bCs/>
              </w:rPr>
              <w:t>Month 5.</w:t>
            </w:r>
            <w:r>
              <w:rPr>
                <w:bCs/>
              </w:rPr>
              <w:t xml:space="preserve"> </w:t>
            </w:r>
            <w:r w:rsidRPr="009E318C">
              <w:rPr>
                <w:bCs/>
              </w:rPr>
              <w:t>Develop a cyber security business resources development brochure or guidebook using this material.</w:t>
            </w:r>
          </w:p>
          <w:p w:rsidR="009E318C" w:rsidRDefault="009E318C" w:rsidP="009E318C">
            <w:pPr>
              <w:pStyle w:val="Default"/>
              <w:rPr>
                <w:bCs/>
              </w:rPr>
            </w:pPr>
          </w:p>
          <w:p w:rsidR="009E318C" w:rsidRPr="009E318C" w:rsidRDefault="009E318C" w:rsidP="009E318C">
            <w:pPr>
              <w:pStyle w:val="Default"/>
              <w:numPr>
                <w:ilvl w:val="0"/>
                <w:numId w:val="20"/>
              </w:numPr>
              <w:rPr>
                <w:bCs/>
              </w:rPr>
            </w:pPr>
            <w:r w:rsidRPr="009E318C">
              <w:rPr>
                <w:b/>
                <w:bCs/>
              </w:rPr>
              <w:t>Months 6-8.</w:t>
            </w:r>
            <w:r w:rsidRPr="009E318C">
              <w:rPr>
                <w:bCs/>
              </w:rPr>
              <w:t xml:space="preserve"> </w:t>
            </w:r>
            <w:r w:rsidRPr="009E318C">
              <w:rPr>
                <w:bCs/>
              </w:rPr>
              <w:t xml:space="preserve">Benchmark and utilize technology-oriented business retention and expansion best practices. Develop a state-of-the-art model and implement it through the Councils of Government in each of the state’s seven economic development regions.  Outreach to 4-8 key cyber security firms, labs, and support institutions in each region.  </w:t>
            </w:r>
          </w:p>
          <w:p w:rsidR="009E318C" w:rsidRPr="008F0108" w:rsidRDefault="009E318C" w:rsidP="009E318C">
            <w:pPr>
              <w:pStyle w:val="Default"/>
              <w:rPr>
                <w:bCs/>
              </w:rPr>
            </w:pPr>
          </w:p>
          <w:p w:rsidR="009E318C" w:rsidRPr="008F0108" w:rsidRDefault="009E318C" w:rsidP="009E318C">
            <w:pPr>
              <w:pStyle w:val="Default"/>
              <w:numPr>
                <w:ilvl w:val="1"/>
                <w:numId w:val="20"/>
              </w:numPr>
              <w:rPr>
                <w:bCs/>
              </w:rPr>
            </w:pPr>
            <w:r w:rsidRPr="008F0108">
              <w:rPr>
                <w:bCs/>
              </w:rPr>
              <w:lastRenderedPageBreak/>
              <w:t>Educate stakeholders about cluster activities.  Distribute guidebooks.</w:t>
            </w:r>
          </w:p>
          <w:p w:rsidR="009E318C" w:rsidRPr="008F0108" w:rsidRDefault="009E318C" w:rsidP="009E318C">
            <w:pPr>
              <w:pStyle w:val="Default"/>
              <w:numPr>
                <w:ilvl w:val="1"/>
                <w:numId w:val="20"/>
              </w:numPr>
              <w:rPr>
                <w:bCs/>
              </w:rPr>
            </w:pPr>
            <w:r w:rsidRPr="008F0108">
              <w:rPr>
                <w:bCs/>
              </w:rPr>
              <w:t>Identify, address, and document immediate individual business survival needs;</w:t>
            </w:r>
          </w:p>
          <w:p w:rsidR="009E318C" w:rsidRPr="008F0108" w:rsidRDefault="009E318C" w:rsidP="009E318C">
            <w:pPr>
              <w:pStyle w:val="Default"/>
              <w:numPr>
                <w:ilvl w:val="1"/>
                <w:numId w:val="20"/>
              </w:numPr>
              <w:rPr>
                <w:bCs/>
              </w:rPr>
            </w:pPr>
            <w:r w:rsidRPr="008F0108">
              <w:rPr>
                <w:bCs/>
              </w:rPr>
              <w:t xml:space="preserve">Through interviews assessing the entire cyber security value chain, create a “Strengths, Weaknesses, Opportunities, Threats” matrix for the cluster; and </w:t>
            </w:r>
          </w:p>
          <w:p w:rsidR="009E318C" w:rsidRDefault="009E318C" w:rsidP="009E318C">
            <w:pPr>
              <w:pStyle w:val="Default"/>
              <w:numPr>
                <w:ilvl w:val="1"/>
                <w:numId w:val="20"/>
              </w:numPr>
              <w:rPr>
                <w:bCs/>
              </w:rPr>
            </w:pPr>
            <w:r w:rsidRPr="008F0108">
              <w:rPr>
                <w:bCs/>
              </w:rPr>
              <w:t>Document customer-driven short-, medium, and long-term recommendations for action in a working draft sector business development model for the state.</w:t>
            </w:r>
          </w:p>
          <w:p w:rsidR="009E318C" w:rsidRPr="008F0108" w:rsidRDefault="009E318C" w:rsidP="009E318C">
            <w:pPr>
              <w:pStyle w:val="Default"/>
              <w:ind w:left="1440"/>
              <w:rPr>
                <w:bCs/>
              </w:rPr>
            </w:pPr>
          </w:p>
          <w:p w:rsidR="00460F36" w:rsidRPr="00460F36" w:rsidRDefault="009E318C" w:rsidP="007E274B">
            <w:pPr>
              <w:pStyle w:val="Default"/>
              <w:numPr>
                <w:ilvl w:val="0"/>
                <w:numId w:val="20"/>
              </w:numPr>
            </w:pPr>
            <w:r w:rsidRPr="009E318C">
              <w:rPr>
                <w:b/>
                <w:bCs/>
              </w:rPr>
              <w:t>Months 9-12.</w:t>
            </w:r>
            <w:r>
              <w:rPr>
                <w:bCs/>
              </w:rPr>
              <w:t xml:space="preserve">  Create a </w:t>
            </w:r>
            <w:r w:rsidR="00460F36" w:rsidRPr="00460F36">
              <w:t>cyber security business development action p</w:t>
            </w:r>
            <w:r>
              <w:t>lan for the State of New Mexico.</w:t>
            </w:r>
          </w:p>
          <w:p w:rsidR="008F0108" w:rsidRPr="008F0108" w:rsidRDefault="008F0108" w:rsidP="008F0108">
            <w:pPr>
              <w:pStyle w:val="Default"/>
              <w:rPr>
                <w:bCs/>
              </w:rPr>
            </w:pPr>
          </w:p>
          <w:p w:rsidR="009E318C" w:rsidRDefault="008F0108" w:rsidP="009E318C">
            <w:pPr>
              <w:pStyle w:val="Default"/>
              <w:numPr>
                <w:ilvl w:val="1"/>
                <w:numId w:val="20"/>
              </w:numPr>
              <w:rPr>
                <w:bCs/>
              </w:rPr>
            </w:pPr>
            <w:r w:rsidRPr="008F0108">
              <w:rPr>
                <w:bCs/>
              </w:rPr>
              <w:t>Around working drafts of a business model, coordinate stakeholder meetings as needed to engage plan refinement and develop priorities and commitments pertaining to widely perceived priority next steps action plan.</w:t>
            </w:r>
          </w:p>
          <w:p w:rsidR="009E318C" w:rsidRDefault="009E318C" w:rsidP="009E318C">
            <w:pPr>
              <w:pStyle w:val="Default"/>
              <w:ind w:left="1440"/>
              <w:rPr>
                <w:bCs/>
              </w:rPr>
            </w:pPr>
          </w:p>
          <w:p w:rsidR="009E318C" w:rsidRPr="009E318C" w:rsidRDefault="008F0108" w:rsidP="009E318C">
            <w:pPr>
              <w:pStyle w:val="Default"/>
              <w:numPr>
                <w:ilvl w:val="1"/>
                <w:numId w:val="20"/>
              </w:numPr>
              <w:rPr>
                <w:bCs/>
              </w:rPr>
            </w:pPr>
            <w:r w:rsidRPr="009E318C">
              <w:rPr>
                <w:bCs/>
              </w:rPr>
              <w:t>Coordinate with the Stat</w:t>
            </w:r>
            <w:r w:rsidR="009E318C" w:rsidRPr="009E318C">
              <w:rPr>
                <w:bCs/>
              </w:rPr>
              <w:t xml:space="preserve">e Science and Technology Office, </w:t>
            </w:r>
            <w:r w:rsidR="009E318C" w:rsidRPr="009E318C">
              <w:rPr>
                <w:bCs/>
              </w:rPr>
              <w:t xml:space="preserve">New Mexico Technology Council and other key stakeholders to adjust research activities formatting of project material into </w:t>
            </w:r>
            <w:r w:rsidR="009E318C" w:rsidRPr="009E318C">
              <w:rPr>
                <w:bCs/>
              </w:rPr>
              <w:t xml:space="preserve">usable </w:t>
            </w:r>
            <w:r w:rsidR="009E318C" w:rsidRPr="009E318C">
              <w:rPr>
                <w:bCs/>
              </w:rPr>
              <w:t xml:space="preserve">work products usable in cyber security cluster development activity such as a possible amendment of the State’s Science and Technology Plan </w:t>
            </w:r>
            <w:r w:rsidR="009E318C" w:rsidRPr="009E318C">
              <w:rPr>
                <w:bCs/>
              </w:rPr>
              <w:t>(EDD) or Cyber Security Cluster Action Plan (NMTC)</w:t>
            </w:r>
          </w:p>
          <w:p w:rsidR="009E318C" w:rsidRDefault="009E318C" w:rsidP="009E318C">
            <w:pPr>
              <w:pStyle w:val="Default"/>
              <w:ind w:left="-720"/>
              <w:rPr>
                <w:bCs/>
              </w:rPr>
            </w:pPr>
          </w:p>
          <w:p w:rsidR="000145F8" w:rsidRPr="009E318C" w:rsidRDefault="009E318C" w:rsidP="009E318C">
            <w:pPr>
              <w:pStyle w:val="Default"/>
              <w:numPr>
                <w:ilvl w:val="0"/>
                <w:numId w:val="23"/>
              </w:numPr>
              <w:rPr>
                <w:bCs/>
              </w:rPr>
            </w:pPr>
            <w:r w:rsidRPr="009E318C">
              <w:rPr>
                <w:b/>
                <w:bCs/>
              </w:rPr>
              <w:t>All Months.</w:t>
            </w:r>
            <w:r>
              <w:rPr>
                <w:bCs/>
              </w:rPr>
              <w:t xml:space="preserve">  </w:t>
            </w:r>
            <w:r w:rsidR="008F0108" w:rsidRPr="009E318C">
              <w:rPr>
                <w:bCs/>
              </w:rPr>
              <w:t>Prepare monthly VISTA project progress reports.</w:t>
            </w:r>
          </w:p>
          <w:p w:rsidR="0079073E" w:rsidRDefault="0079073E" w:rsidP="009E318C">
            <w:pPr>
              <w:pStyle w:val="ListParagraph"/>
              <w:spacing w:after="0" w:line="240" w:lineRule="auto"/>
              <w:ind w:left="0"/>
              <w:rPr>
                <w:bCs/>
              </w:rPr>
            </w:pPr>
          </w:p>
          <w:p w:rsidR="00216E24" w:rsidRPr="00216E24" w:rsidRDefault="00216E24" w:rsidP="0079073E">
            <w:pPr>
              <w:pStyle w:val="Default"/>
              <w:rPr>
                <w:b/>
                <w:bCs/>
              </w:rPr>
            </w:pPr>
            <w:r w:rsidRPr="00216E24">
              <w:rPr>
                <w:b/>
                <w:bCs/>
              </w:rPr>
              <w:t>Hiring Timeline</w:t>
            </w:r>
          </w:p>
          <w:p w:rsidR="00216E24" w:rsidRPr="00216E24" w:rsidRDefault="00216E24" w:rsidP="00216E24">
            <w:pPr>
              <w:pStyle w:val="Default"/>
              <w:rPr>
                <w:bCs/>
              </w:rPr>
            </w:pPr>
          </w:p>
          <w:p w:rsidR="00216E24" w:rsidRPr="00216E24" w:rsidRDefault="00216E24" w:rsidP="009E318C">
            <w:pPr>
              <w:pStyle w:val="Default"/>
              <w:numPr>
                <w:ilvl w:val="0"/>
                <w:numId w:val="20"/>
              </w:numPr>
              <w:rPr>
                <w:bCs/>
              </w:rPr>
            </w:pPr>
            <w:r w:rsidRPr="00216E24">
              <w:rPr>
                <w:bCs/>
              </w:rPr>
              <w:t>August 10: Opportunity Listings and VADs due</w:t>
            </w:r>
          </w:p>
          <w:p w:rsidR="00216E24" w:rsidRPr="00216E24" w:rsidRDefault="00216E24" w:rsidP="009E318C">
            <w:pPr>
              <w:pStyle w:val="Default"/>
              <w:numPr>
                <w:ilvl w:val="0"/>
                <w:numId w:val="20"/>
              </w:numPr>
              <w:rPr>
                <w:bCs/>
              </w:rPr>
            </w:pPr>
            <w:r w:rsidRPr="00216E24">
              <w:rPr>
                <w:bCs/>
              </w:rPr>
              <w:t>September 15: All interviewing complete</w:t>
            </w:r>
          </w:p>
          <w:p w:rsidR="00216E24" w:rsidRPr="00216E24" w:rsidRDefault="00216E24" w:rsidP="009E318C">
            <w:pPr>
              <w:pStyle w:val="Default"/>
              <w:numPr>
                <w:ilvl w:val="0"/>
                <w:numId w:val="20"/>
              </w:numPr>
              <w:rPr>
                <w:bCs/>
              </w:rPr>
            </w:pPr>
            <w:r w:rsidRPr="00216E24">
              <w:rPr>
                <w:bCs/>
              </w:rPr>
              <w:t>September 25: VISTA Selection Finalized</w:t>
            </w:r>
          </w:p>
          <w:p w:rsidR="00216E24" w:rsidRDefault="00216E24" w:rsidP="009E318C">
            <w:pPr>
              <w:pStyle w:val="Default"/>
              <w:numPr>
                <w:ilvl w:val="0"/>
                <w:numId w:val="20"/>
              </w:numPr>
              <w:rPr>
                <w:bCs/>
              </w:rPr>
            </w:pPr>
            <w:r w:rsidRPr="00216E24">
              <w:rPr>
                <w:bCs/>
              </w:rPr>
              <w:t>November 6: VISTA Start of Service</w:t>
            </w:r>
          </w:p>
          <w:p w:rsidR="00216E24" w:rsidRDefault="00216E24" w:rsidP="009E318C">
            <w:pPr>
              <w:pStyle w:val="Default"/>
              <w:numPr>
                <w:ilvl w:val="1"/>
                <w:numId w:val="20"/>
              </w:numPr>
              <w:rPr>
                <w:bCs/>
              </w:rPr>
            </w:pPr>
            <w:r w:rsidRPr="00216E24">
              <w:rPr>
                <w:bCs/>
              </w:rPr>
              <w:t>Pre-Service Orientation, Nov 6-9</w:t>
            </w:r>
          </w:p>
          <w:p w:rsidR="00216E24" w:rsidRPr="00216E24" w:rsidRDefault="00216E24" w:rsidP="009E318C">
            <w:pPr>
              <w:pStyle w:val="Default"/>
              <w:numPr>
                <w:ilvl w:val="1"/>
                <w:numId w:val="20"/>
              </w:numPr>
              <w:rPr>
                <w:bCs/>
              </w:rPr>
            </w:pPr>
            <w:r w:rsidRPr="00216E24">
              <w:rPr>
                <w:bCs/>
              </w:rPr>
              <w:t>Start in office Nov 13</w:t>
            </w:r>
          </w:p>
          <w:p w:rsidR="00216E24" w:rsidRDefault="00216E24" w:rsidP="009E318C">
            <w:pPr>
              <w:pStyle w:val="Default"/>
              <w:numPr>
                <w:ilvl w:val="0"/>
                <w:numId w:val="20"/>
              </w:numPr>
              <w:rPr>
                <w:bCs/>
              </w:rPr>
            </w:pPr>
            <w:r w:rsidRPr="00216E24">
              <w:rPr>
                <w:bCs/>
              </w:rPr>
              <w:t>November 20-21: AURO Orientation</w:t>
            </w:r>
            <w:r>
              <w:rPr>
                <w:bCs/>
              </w:rPr>
              <w:t xml:space="preserve"> in Denver</w:t>
            </w:r>
          </w:p>
          <w:p w:rsidR="00216E24" w:rsidRDefault="00216E24" w:rsidP="00216E24">
            <w:pPr>
              <w:pStyle w:val="Default"/>
              <w:rPr>
                <w:bCs/>
              </w:rPr>
            </w:pPr>
          </w:p>
          <w:p w:rsidR="00216E24" w:rsidRDefault="00216E24" w:rsidP="00216E24">
            <w:pPr>
              <w:pStyle w:val="Default"/>
              <w:rPr>
                <w:b/>
                <w:bCs/>
              </w:rPr>
            </w:pPr>
            <w:r w:rsidRPr="00216E24">
              <w:rPr>
                <w:b/>
                <w:bCs/>
              </w:rPr>
              <w:t>Benefits</w:t>
            </w:r>
          </w:p>
          <w:p w:rsidR="00216E24" w:rsidRPr="00216E24" w:rsidRDefault="00216E24" w:rsidP="00216E24">
            <w:pPr>
              <w:pStyle w:val="Default"/>
              <w:rPr>
                <w:b/>
                <w:bCs/>
              </w:rPr>
            </w:pPr>
          </w:p>
          <w:p w:rsidR="00216E24" w:rsidRDefault="00216E24" w:rsidP="009E318C">
            <w:pPr>
              <w:pStyle w:val="Default"/>
              <w:numPr>
                <w:ilvl w:val="0"/>
                <w:numId w:val="20"/>
              </w:numPr>
              <w:rPr>
                <w:bCs/>
              </w:rPr>
            </w:pPr>
            <w:bookmarkStart w:id="2" w:name="_Hlk489880339"/>
            <w:r>
              <w:rPr>
                <w:bCs/>
              </w:rPr>
              <w:t>If you have any interest in launching your career or starting your business in cyber security in the Land of Enchantment, this is your ticket.  For a year, working with one of the best career development mentors EVER, you’ll have a chance to work with the leading technologist in government, federal laboratories, and private firms on solving up-to-the-minute cyber security business development challenges.  Your specialized skills will be highly appreciated and valued here.</w:t>
            </w:r>
          </w:p>
          <w:bookmarkEnd w:id="2"/>
          <w:p w:rsidR="006E467E" w:rsidRPr="00216E24" w:rsidRDefault="00216E24" w:rsidP="009E318C">
            <w:pPr>
              <w:pStyle w:val="Default"/>
              <w:numPr>
                <w:ilvl w:val="0"/>
                <w:numId w:val="20"/>
              </w:numPr>
              <w:rPr>
                <w:bCs/>
              </w:rPr>
            </w:pPr>
            <w:r>
              <w:rPr>
                <w:bCs/>
              </w:rPr>
              <w:t>Monthly living s</w:t>
            </w:r>
            <w:r w:rsidR="00284C3E" w:rsidRPr="00216E24">
              <w:rPr>
                <w:bCs/>
              </w:rPr>
              <w:t xml:space="preserve">tipend </w:t>
            </w:r>
            <w:r>
              <w:rPr>
                <w:bCs/>
              </w:rPr>
              <w:t xml:space="preserve">of </w:t>
            </w:r>
            <w:r w:rsidR="00284C3E" w:rsidRPr="00216E24">
              <w:rPr>
                <w:bCs/>
              </w:rPr>
              <w:t>$990/month</w:t>
            </w:r>
            <w:r>
              <w:rPr>
                <w:bCs/>
              </w:rPr>
              <w:t>;</w:t>
            </w:r>
          </w:p>
          <w:p w:rsidR="00216E24" w:rsidRDefault="00216E24" w:rsidP="009E318C">
            <w:pPr>
              <w:pStyle w:val="Default"/>
              <w:numPr>
                <w:ilvl w:val="0"/>
                <w:numId w:val="20"/>
              </w:numPr>
              <w:rPr>
                <w:bCs/>
              </w:rPr>
            </w:pPr>
            <w:r>
              <w:rPr>
                <w:bCs/>
              </w:rPr>
              <w:t>Employer is seeking funding to provide housing stipend of $250/month;</w:t>
            </w:r>
          </w:p>
          <w:p w:rsidR="00216E24" w:rsidRDefault="00216E24" w:rsidP="009E318C">
            <w:pPr>
              <w:pStyle w:val="Default"/>
              <w:numPr>
                <w:ilvl w:val="0"/>
                <w:numId w:val="20"/>
              </w:numPr>
              <w:rPr>
                <w:bCs/>
              </w:rPr>
            </w:pPr>
            <w:r w:rsidRPr="00216E24">
              <w:rPr>
                <w:bCs/>
              </w:rPr>
              <w:t>After a successful year of service, VISTAs can choose to receive either a $1,500 stipend or a Segal AmeriCorps Education Award equal to the maximum amount of the federal Pell Grant (the current amount of the Pell Grant is $5,775)</w:t>
            </w:r>
          </w:p>
          <w:p w:rsidR="00216E24" w:rsidRDefault="00216E24" w:rsidP="009E318C">
            <w:pPr>
              <w:pStyle w:val="Default"/>
              <w:numPr>
                <w:ilvl w:val="0"/>
                <w:numId w:val="20"/>
              </w:numPr>
              <w:rPr>
                <w:bCs/>
              </w:rPr>
            </w:pPr>
            <w:r>
              <w:rPr>
                <w:bCs/>
              </w:rPr>
              <w:t>Volunteer position benefits i</w:t>
            </w:r>
            <w:r w:rsidRPr="00216E24">
              <w:rPr>
                <w:bCs/>
              </w:rPr>
              <w:t>nclude health care, child care, training, and</w:t>
            </w:r>
            <w:r>
              <w:rPr>
                <w:bCs/>
              </w:rPr>
              <w:t xml:space="preserve"> </w:t>
            </w:r>
            <w:r w:rsidRPr="00216E24">
              <w:rPr>
                <w:bCs/>
              </w:rPr>
              <w:t>liability insurance.</w:t>
            </w:r>
          </w:p>
          <w:p w:rsidR="00216E24" w:rsidRDefault="00216E24" w:rsidP="009E318C">
            <w:pPr>
              <w:pStyle w:val="Default"/>
              <w:numPr>
                <w:ilvl w:val="0"/>
                <w:numId w:val="20"/>
              </w:numPr>
              <w:rPr>
                <w:bCs/>
              </w:rPr>
            </w:pPr>
            <w:r w:rsidRPr="00216E24">
              <w:rPr>
                <w:bCs/>
              </w:rPr>
              <w:t xml:space="preserve">Once a VISTA successfully completes service that VISTA will receive one year of non-competitive eligibility for employment in the federal government. This special hiring status enables the former VISTA to apply for federal jobs with the advantage of not having to go through the standard public competitive selection process. That means that you can be appointed to federal positions that may or may not be </w:t>
            </w:r>
            <w:r w:rsidRPr="00216E24">
              <w:rPr>
                <w:bCs/>
              </w:rPr>
              <w:lastRenderedPageBreak/>
              <w:t xml:space="preserve">available to the </w:t>
            </w:r>
            <w:proofErr w:type="gramStart"/>
            <w:r w:rsidRPr="00216E24">
              <w:rPr>
                <w:bCs/>
              </w:rPr>
              <w:t>general public</w:t>
            </w:r>
            <w:proofErr w:type="gramEnd"/>
            <w:r w:rsidRPr="00216E24">
              <w:rPr>
                <w:bCs/>
              </w:rPr>
              <w:t xml:space="preserve">. </w:t>
            </w:r>
            <w:r>
              <w:rPr>
                <w:bCs/>
              </w:rPr>
              <w:t xml:space="preserve">If you want to work for the federal government, this benefit doesn’t guarantee you a job, but it scores you valuable points needed to get it.  It’s probably THE most valuable benefit of service to anyone who wants to work with the federal government once their VISTA assignment is finished. </w:t>
            </w:r>
          </w:p>
          <w:p w:rsidR="00216E24" w:rsidRPr="00216E24" w:rsidRDefault="00216E24" w:rsidP="009E318C">
            <w:pPr>
              <w:pStyle w:val="Default"/>
              <w:numPr>
                <w:ilvl w:val="0"/>
                <w:numId w:val="20"/>
              </w:numPr>
              <w:rPr>
                <w:bCs/>
              </w:rPr>
            </w:pPr>
            <w:r w:rsidRPr="00216E24">
              <w:rPr>
                <w:bCs/>
              </w:rPr>
              <w:t>Depending on where you’re coming from and where you’ll serve, you may be eligible for relocation benefits.</w:t>
            </w:r>
          </w:p>
          <w:p w:rsidR="00216E24" w:rsidRDefault="00216E24" w:rsidP="0079073E">
            <w:pPr>
              <w:pStyle w:val="Default"/>
              <w:rPr>
                <w:bCs/>
              </w:rPr>
            </w:pPr>
          </w:p>
          <w:p w:rsidR="008202FA" w:rsidRPr="008202FA" w:rsidRDefault="008202FA" w:rsidP="0079073E">
            <w:pPr>
              <w:pStyle w:val="Default"/>
              <w:rPr>
                <w:b/>
                <w:bCs/>
              </w:rPr>
            </w:pPr>
            <w:r w:rsidRPr="008202FA">
              <w:rPr>
                <w:b/>
                <w:bCs/>
              </w:rPr>
              <w:t>Contact</w:t>
            </w:r>
          </w:p>
          <w:p w:rsidR="008202FA" w:rsidRDefault="008202FA" w:rsidP="0079073E">
            <w:pPr>
              <w:pStyle w:val="Default"/>
              <w:rPr>
                <w:bCs/>
              </w:rPr>
            </w:pPr>
          </w:p>
          <w:p w:rsidR="0079073E" w:rsidRDefault="0079073E" w:rsidP="0079073E">
            <w:pPr>
              <w:pStyle w:val="Default"/>
              <w:rPr>
                <w:bCs/>
              </w:rPr>
            </w:pPr>
            <w:r>
              <w:rPr>
                <w:bCs/>
              </w:rPr>
              <w:t>For further information about this opportunity contact:</w:t>
            </w:r>
          </w:p>
          <w:p w:rsidR="0079073E" w:rsidRDefault="0079073E" w:rsidP="0079073E">
            <w:pPr>
              <w:pStyle w:val="Default"/>
              <w:rPr>
                <w:bCs/>
              </w:rPr>
            </w:pPr>
          </w:p>
          <w:p w:rsidR="0079073E" w:rsidRPr="0079073E" w:rsidRDefault="0079073E" w:rsidP="0079073E">
            <w:pPr>
              <w:pStyle w:val="Default"/>
              <w:rPr>
                <w:bCs/>
              </w:rPr>
            </w:pPr>
            <w:r w:rsidRPr="0079073E">
              <w:rPr>
                <w:bCs/>
              </w:rPr>
              <w:t>Scott Beckman, Community Development Manager</w:t>
            </w:r>
          </w:p>
          <w:p w:rsidR="0079073E" w:rsidRPr="0079073E" w:rsidRDefault="0079073E" w:rsidP="0079073E">
            <w:pPr>
              <w:pStyle w:val="Default"/>
              <w:rPr>
                <w:bCs/>
              </w:rPr>
            </w:pPr>
            <w:r w:rsidRPr="0079073E">
              <w:rPr>
                <w:bCs/>
              </w:rPr>
              <w:t>North Central New Mexico Economic Development District</w:t>
            </w:r>
          </w:p>
          <w:p w:rsidR="0079073E" w:rsidRPr="0079073E" w:rsidRDefault="0079073E" w:rsidP="0079073E">
            <w:pPr>
              <w:pStyle w:val="Default"/>
              <w:rPr>
                <w:bCs/>
              </w:rPr>
            </w:pPr>
            <w:r w:rsidRPr="0079073E">
              <w:rPr>
                <w:bCs/>
              </w:rPr>
              <w:t xml:space="preserve">3900 Paseo del Sol, Santa Fe, NM 87507 </w:t>
            </w:r>
          </w:p>
          <w:p w:rsidR="0079073E" w:rsidRPr="0079073E" w:rsidRDefault="0079073E" w:rsidP="0079073E">
            <w:pPr>
              <w:pStyle w:val="Default"/>
              <w:rPr>
                <w:bCs/>
              </w:rPr>
            </w:pPr>
            <w:r w:rsidRPr="0079073E">
              <w:rPr>
                <w:bCs/>
              </w:rPr>
              <w:t>(505) 395-2676</w:t>
            </w:r>
          </w:p>
          <w:p w:rsidR="008F0108" w:rsidRDefault="0079073E" w:rsidP="00284C3E">
            <w:pPr>
              <w:pStyle w:val="Default"/>
              <w:rPr>
                <w:bCs/>
                <w:highlight w:val="yellow"/>
              </w:rPr>
            </w:pPr>
            <w:r w:rsidRPr="0079073E">
              <w:rPr>
                <w:bCs/>
                <w:noProof/>
              </w:rPr>
              <w:drawing>
                <wp:inline distT="0" distB="0" distL="0" distR="0">
                  <wp:extent cx="390525" cy="409575"/>
                  <wp:effectExtent l="0" t="0" r="9525" b="9525"/>
                  <wp:docPr id="2" name="Picture 2" descr="cid:image002.jpg@01D30D2A.1993F1F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0D2A.1993F1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p>
          <w:p w:rsidR="00284C3E" w:rsidRPr="008F0108" w:rsidRDefault="00284C3E" w:rsidP="00284C3E">
            <w:pPr>
              <w:pStyle w:val="Default"/>
              <w:rPr>
                <w:bCs/>
                <w:highlight w:val="yellow"/>
              </w:rPr>
            </w:pPr>
          </w:p>
        </w:tc>
      </w:tr>
    </w:tbl>
    <w:p w:rsidR="0071121B" w:rsidRPr="0071121B" w:rsidRDefault="0071121B" w:rsidP="00203D43">
      <w:pPr>
        <w:pStyle w:val="Default"/>
        <w:rPr>
          <w:b/>
          <w:bCs/>
        </w:rPr>
      </w:pPr>
    </w:p>
    <w:sectPr w:rsidR="0071121B" w:rsidRPr="0071121B" w:rsidSect="005263A1">
      <w:pgSz w:w="12240" w:h="15840"/>
      <w:pgMar w:top="288"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DBEE4E"/>
    <w:multiLevelType w:val="hybridMultilevel"/>
    <w:tmpl w:val="065B14A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8528B"/>
    <w:multiLevelType w:val="hybridMultilevel"/>
    <w:tmpl w:val="D4101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F4668"/>
    <w:multiLevelType w:val="hybridMultilevel"/>
    <w:tmpl w:val="6BE4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30BCD"/>
    <w:multiLevelType w:val="hybridMultilevel"/>
    <w:tmpl w:val="B156D71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A816C6"/>
    <w:multiLevelType w:val="hybridMultilevel"/>
    <w:tmpl w:val="D21E64D8"/>
    <w:lvl w:ilvl="0" w:tplc="E05CB66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52ADE"/>
    <w:multiLevelType w:val="hybridMultilevel"/>
    <w:tmpl w:val="A028C9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AE1846"/>
    <w:multiLevelType w:val="hybridMultilevel"/>
    <w:tmpl w:val="0934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76846"/>
    <w:multiLevelType w:val="hybridMultilevel"/>
    <w:tmpl w:val="34004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E91C82"/>
    <w:multiLevelType w:val="hybridMultilevel"/>
    <w:tmpl w:val="D21E64D8"/>
    <w:lvl w:ilvl="0" w:tplc="E05CB66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0295C"/>
    <w:multiLevelType w:val="hybridMultilevel"/>
    <w:tmpl w:val="C79058FC"/>
    <w:lvl w:ilvl="0" w:tplc="DBE0A38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837BC"/>
    <w:multiLevelType w:val="hybridMultilevel"/>
    <w:tmpl w:val="BEB26B66"/>
    <w:lvl w:ilvl="0" w:tplc="AE3CC578">
      <w:start w:val="1"/>
      <w:numFmt w:val="decimal"/>
      <w:lvlText w:val="%1."/>
      <w:lvlJc w:val="left"/>
      <w:pPr>
        <w:ind w:left="720" w:hanging="360"/>
      </w:pPr>
      <w:rPr>
        <w:rFonts w:ascii="Arial" w:eastAsia="MS Mincho"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65E79"/>
    <w:multiLevelType w:val="hybridMultilevel"/>
    <w:tmpl w:val="278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41E37"/>
    <w:multiLevelType w:val="hybridMultilevel"/>
    <w:tmpl w:val="D21E64D8"/>
    <w:lvl w:ilvl="0" w:tplc="E05CB66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92B2C"/>
    <w:multiLevelType w:val="hybridMultilevel"/>
    <w:tmpl w:val="D21E64D8"/>
    <w:lvl w:ilvl="0" w:tplc="E05CB66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2799E"/>
    <w:multiLevelType w:val="hybridMultilevel"/>
    <w:tmpl w:val="CD18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936F9"/>
    <w:multiLevelType w:val="hybridMultilevel"/>
    <w:tmpl w:val="48403622"/>
    <w:lvl w:ilvl="0" w:tplc="1A5EC7FA">
      <w:start w:val="1"/>
      <w:numFmt w:val="bullet"/>
      <w:lvlText w:val="•"/>
      <w:lvlJc w:val="left"/>
      <w:pPr>
        <w:tabs>
          <w:tab w:val="num" w:pos="720"/>
        </w:tabs>
        <w:ind w:left="720" w:hanging="360"/>
      </w:pPr>
      <w:rPr>
        <w:rFonts w:ascii="Arial" w:hAnsi="Arial" w:hint="default"/>
      </w:rPr>
    </w:lvl>
    <w:lvl w:ilvl="1" w:tplc="38B6FDBA">
      <w:start w:val="1"/>
      <w:numFmt w:val="bullet"/>
      <w:lvlText w:val="•"/>
      <w:lvlJc w:val="left"/>
      <w:pPr>
        <w:tabs>
          <w:tab w:val="num" w:pos="1440"/>
        </w:tabs>
        <w:ind w:left="1440" w:hanging="360"/>
      </w:pPr>
      <w:rPr>
        <w:rFonts w:ascii="Arial" w:hAnsi="Arial" w:hint="default"/>
      </w:rPr>
    </w:lvl>
    <w:lvl w:ilvl="2" w:tplc="8E8053EA" w:tentative="1">
      <w:start w:val="1"/>
      <w:numFmt w:val="bullet"/>
      <w:lvlText w:val="•"/>
      <w:lvlJc w:val="left"/>
      <w:pPr>
        <w:tabs>
          <w:tab w:val="num" w:pos="2160"/>
        </w:tabs>
        <w:ind w:left="2160" w:hanging="360"/>
      </w:pPr>
      <w:rPr>
        <w:rFonts w:ascii="Arial" w:hAnsi="Arial" w:hint="default"/>
      </w:rPr>
    </w:lvl>
    <w:lvl w:ilvl="3" w:tplc="A064BE14" w:tentative="1">
      <w:start w:val="1"/>
      <w:numFmt w:val="bullet"/>
      <w:lvlText w:val="•"/>
      <w:lvlJc w:val="left"/>
      <w:pPr>
        <w:tabs>
          <w:tab w:val="num" w:pos="2880"/>
        </w:tabs>
        <w:ind w:left="2880" w:hanging="360"/>
      </w:pPr>
      <w:rPr>
        <w:rFonts w:ascii="Arial" w:hAnsi="Arial" w:hint="default"/>
      </w:rPr>
    </w:lvl>
    <w:lvl w:ilvl="4" w:tplc="7988D74C" w:tentative="1">
      <w:start w:val="1"/>
      <w:numFmt w:val="bullet"/>
      <w:lvlText w:val="•"/>
      <w:lvlJc w:val="left"/>
      <w:pPr>
        <w:tabs>
          <w:tab w:val="num" w:pos="3600"/>
        </w:tabs>
        <w:ind w:left="3600" w:hanging="360"/>
      </w:pPr>
      <w:rPr>
        <w:rFonts w:ascii="Arial" w:hAnsi="Arial" w:hint="default"/>
      </w:rPr>
    </w:lvl>
    <w:lvl w:ilvl="5" w:tplc="0614A2FA" w:tentative="1">
      <w:start w:val="1"/>
      <w:numFmt w:val="bullet"/>
      <w:lvlText w:val="•"/>
      <w:lvlJc w:val="left"/>
      <w:pPr>
        <w:tabs>
          <w:tab w:val="num" w:pos="4320"/>
        </w:tabs>
        <w:ind w:left="4320" w:hanging="360"/>
      </w:pPr>
      <w:rPr>
        <w:rFonts w:ascii="Arial" w:hAnsi="Arial" w:hint="default"/>
      </w:rPr>
    </w:lvl>
    <w:lvl w:ilvl="6" w:tplc="FF12F3AC" w:tentative="1">
      <w:start w:val="1"/>
      <w:numFmt w:val="bullet"/>
      <w:lvlText w:val="•"/>
      <w:lvlJc w:val="left"/>
      <w:pPr>
        <w:tabs>
          <w:tab w:val="num" w:pos="5040"/>
        </w:tabs>
        <w:ind w:left="5040" w:hanging="360"/>
      </w:pPr>
      <w:rPr>
        <w:rFonts w:ascii="Arial" w:hAnsi="Arial" w:hint="default"/>
      </w:rPr>
    </w:lvl>
    <w:lvl w:ilvl="7" w:tplc="AF689540" w:tentative="1">
      <w:start w:val="1"/>
      <w:numFmt w:val="bullet"/>
      <w:lvlText w:val="•"/>
      <w:lvlJc w:val="left"/>
      <w:pPr>
        <w:tabs>
          <w:tab w:val="num" w:pos="5760"/>
        </w:tabs>
        <w:ind w:left="5760" w:hanging="360"/>
      </w:pPr>
      <w:rPr>
        <w:rFonts w:ascii="Arial" w:hAnsi="Arial" w:hint="default"/>
      </w:rPr>
    </w:lvl>
    <w:lvl w:ilvl="8" w:tplc="359AA2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C1634B"/>
    <w:multiLevelType w:val="hybridMultilevel"/>
    <w:tmpl w:val="0EA8AF30"/>
    <w:lvl w:ilvl="0" w:tplc="0409000F">
      <w:start w:val="1"/>
      <w:numFmt w:val="decimal"/>
      <w:lvlText w:val="%1."/>
      <w:lvlJc w:val="left"/>
      <w:pPr>
        <w:ind w:left="1080" w:hanging="360"/>
      </w:pPr>
    </w:lvl>
    <w:lvl w:ilvl="1" w:tplc="FA30AC7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7E7F33"/>
    <w:multiLevelType w:val="hybridMultilevel"/>
    <w:tmpl w:val="26107F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78427A"/>
    <w:multiLevelType w:val="hybridMultilevel"/>
    <w:tmpl w:val="91EE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370D6"/>
    <w:multiLevelType w:val="hybridMultilevel"/>
    <w:tmpl w:val="D21E64D8"/>
    <w:lvl w:ilvl="0" w:tplc="E05CB66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654A4"/>
    <w:multiLevelType w:val="hybridMultilevel"/>
    <w:tmpl w:val="D21E64D8"/>
    <w:lvl w:ilvl="0" w:tplc="E05CB66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7390C"/>
    <w:multiLevelType w:val="hybridMultilevel"/>
    <w:tmpl w:val="7D8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0314A"/>
    <w:multiLevelType w:val="hybridMultilevel"/>
    <w:tmpl w:val="E75C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7"/>
  </w:num>
  <w:num w:numId="5">
    <w:abstractNumId w:val="9"/>
  </w:num>
  <w:num w:numId="6">
    <w:abstractNumId w:val="16"/>
  </w:num>
  <w:num w:numId="7">
    <w:abstractNumId w:val="12"/>
  </w:num>
  <w:num w:numId="8">
    <w:abstractNumId w:val="20"/>
  </w:num>
  <w:num w:numId="9">
    <w:abstractNumId w:val="19"/>
  </w:num>
  <w:num w:numId="10">
    <w:abstractNumId w:val="13"/>
  </w:num>
  <w:num w:numId="11">
    <w:abstractNumId w:val="4"/>
  </w:num>
  <w:num w:numId="12">
    <w:abstractNumId w:val="8"/>
  </w:num>
  <w:num w:numId="13">
    <w:abstractNumId w:val="6"/>
  </w:num>
  <w:num w:numId="14">
    <w:abstractNumId w:val="0"/>
  </w:num>
  <w:num w:numId="15">
    <w:abstractNumId w:val="21"/>
  </w:num>
  <w:num w:numId="16">
    <w:abstractNumId w:val="22"/>
  </w:num>
  <w:num w:numId="17">
    <w:abstractNumId w:val="11"/>
  </w:num>
  <w:num w:numId="18">
    <w:abstractNumId w:val="15"/>
  </w:num>
  <w:num w:numId="19">
    <w:abstractNumId w:val="14"/>
  </w:num>
  <w:num w:numId="20">
    <w:abstractNumId w:val="18"/>
  </w:num>
  <w:num w:numId="21">
    <w:abstractNumId w:val="1"/>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2A"/>
    <w:rsid w:val="000145F8"/>
    <w:rsid w:val="0004128E"/>
    <w:rsid w:val="00053D59"/>
    <w:rsid w:val="00107750"/>
    <w:rsid w:val="00170ABE"/>
    <w:rsid w:val="0020397C"/>
    <w:rsid w:val="00203D43"/>
    <w:rsid w:val="00216E24"/>
    <w:rsid w:val="00284C3E"/>
    <w:rsid w:val="002859E8"/>
    <w:rsid w:val="00291410"/>
    <w:rsid w:val="00315623"/>
    <w:rsid w:val="00380A2A"/>
    <w:rsid w:val="003D0613"/>
    <w:rsid w:val="003E27D3"/>
    <w:rsid w:val="00460F36"/>
    <w:rsid w:val="004E0CD4"/>
    <w:rsid w:val="004F714D"/>
    <w:rsid w:val="00512536"/>
    <w:rsid w:val="005263A1"/>
    <w:rsid w:val="00533A9A"/>
    <w:rsid w:val="00537476"/>
    <w:rsid w:val="006B6B2A"/>
    <w:rsid w:val="006E467E"/>
    <w:rsid w:val="0071121B"/>
    <w:rsid w:val="00763970"/>
    <w:rsid w:val="0079073E"/>
    <w:rsid w:val="007A0581"/>
    <w:rsid w:val="007A5FF5"/>
    <w:rsid w:val="007C7D91"/>
    <w:rsid w:val="008202FA"/>
    <w:rsid w:val="008C05DC"/>
    <w:rsid w:val="008E644E"/>
    <w:rsid w:val="008F0108"/>
    <w:rsid w:val="00930F67"/>
    <w:rsid w:val="009B6C3F"/>
    <w:rsid w:val="009E318C"/>
    <w:rsid w:val="009F5EF3"/>
    <w:rsid w:val="00A47E71"/>
    <w:rsid w:val="00A67256"/>
    <w:rsid w:val="00B67677"/>
    <w:rsid w:val="00B86F63"/>
    <w:rsid w:val="00B959B7"/>
    <w:rsid w:val="00BD27D8"/>
    <w:rsid w:val="00BF0D8A"/>
    <w:rsid w:val="00C41EB2"/>
    <w:rsid w:val="00CC0618"/>
    <w:rsid w:val="00D433CC"/>
    <w:rsid w:val="00D569A7"/>
    <w:rsid w:val="00D579D1"/>
    <w:rsid w:val="00D74F5B"/>
    <w:rsid w:val="00DA1A6C"/>
    <w:rsid w:val="00E2178E"/>
    <w:rsid w:val="00E26D23"/>
    <w:rsid w:val="00E425F8"/>
    <w:rsid w:val="00F5141E"/>
    <w:rsid w:val="00F737B2"/>
    <w:rsid w:val="00FD7346"/>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4412D"/>
  <w15:chartTrackingRefBased/>
  <w15:docId w15:val="{85B87458-A30A-4515-A8C8-33A500E7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4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37476"/>
    <w:pPr>
      <w:spacing w:line="240" w:lineRule="auto"/>
    </w:pPr>
    <w:rPr>
      <w:b/>
      <w:bCs/>
      <w:color w:val="4F81BD"/>
      <w:sz w:val="18"/>
      <w:szCs w:val="18"/>
    </w:rPr>
  </w:style>
  <w:style w:type="paragraph" w:styleId="ListParagraph">
    <w:name w:val="List Paragraph"/>
    <w:basedOn w:val="Normal"/>
    <w:uiPriority w:val="34"/>
    <w:qFormat/>
    <w:rsid w:val="00537476"/>
    <w:pPr>
      <w:ind w:left="720"/>
      <w:contextualSpacing/>
    </w:pPr>
  </w:style>
  <w:style w:type="paragraph" w:customStyle="1" w:styleId="Default">
    <w:name w:val="Default"/>
    <w:rsid w:val="006B6B2A"/>
    <w:pPr>
      <w:widowControl w:val="0"/>
      <w:autoSpaceDE w:val="0"/>
      <w:autoSpaceDN w:val="0"/>
      <w:adjustRightInd w:val="0"/>
    </w:pPr>
    <w:rPr>
      <w:rFonts w:ascii="Arial" w:eastAsia="MS Mincho" w:hAnsi="Arial" w:cs="Arial"/>
      <w:color w:val="000000"/>
      <w:sz w:val="24"/>
      <w:szCs w:val="24"/>
    </w:rPr>
  </w:style>
  <w:style w:type="table" w:styleId="TableGrid">
    <w:name w:val="Table Grid"/>
    <w:basedOn w:val="TableNormal"/>
    <w:uiPriority w:val="59"/>
    <w:rsid w:val="006B6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1">
    <w:name w:val="Pa41"/>
    <w:basedOn w:val="Default"/>
    <w:next w:val="Default"/>
    <w:uiPriority w:val="99"/>
    <w:rsid w:val="00B959B7"/>
    <w:pPr>
      <w:widowControl/>
      <w:spacing w:line="241" w:lineRule="atLeast"/>
    </w:pPr>
    <w:rPr>
      <w:rFonts w:ascii="HelveticaNeueLT Std" w:eastAsia="Calibri" w:hAnsi="HelveticaNeueLT Std" w:cs="Times New Roman"/>
      <w:color w:val="auto"/>
    </w:rPr>
  </w:style>
  <w:style w:type="paragraph" w:customStyle="1" w:styleId="Pa42">
    <w:name w:val="Pa42"/>
    <w:basedOn w:val="Default"/>
    <w:next w:val="Default"/>
    <w:uiPriority w:val="99"/>
    <w:rsid w:val="00B959B7"/>
    <w:pPr>
      <w:widowControl/>
      <w:spacing w:line="201" w:lineRule="atLeast"/>
    </w:pPr>
    <w:rPr>
      <w:rFonts w:ascii="HelveticaNeueLT Std" w:eastAsia="Calibri" w:hAnsi="HelveticaNeueLT Std" w:cs="Times New Roman"/>
      <w:color w:val="auto"/>
    </w:rPr>
  </w:style>
  <w:style w:type="character" w:customStyle="1" w:styleId="A5">
    <w:name w:val="A5"/>
    <w:uiPriority w:val="99"/>
    <w:rsid w:val="00B959B7"/>
    <w:rPr>
      <w:rFonts w:cs="HelveticaNeueLT Std"/>
      <w:color w:val="221E1F"/>
      <w:sz w:val="22"/>
      <w:szCs w:val="22"/>
    </w:rPr>
  </w:style>
  <w:style w:type="paragraph" w:styleId="BalloonText">
    <w:name w:val="Balloon Text"/>
    <w:basedOn w:val="Normal"/>
    <w:link w:val="BalloonTextChar"/>
    <w:uiPriority w:val="99"/>
    <w:semiHidden/>
    <w:unhideWhenUsed/>
    <w:rsid w:val="007639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3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8225">
      <w:bodyDiv w:val="1"/>
      <w:marLeft w:val="0"/>
      <w:marRight w:val="0"/>
      <w:marTop w:val="0"/>
      <w:marBottom w:val="0"/>
      <w:divBdr>
        <w:top w:val="none" w:sz="0" w:space="0" w:color="auto"/>
        <w:left w:val="none" w:sz="0" w:space="0" w:color="auto"/>
        <w:bottom w:val="none" w:sz="0" w:space="0" w:color="auto"/>
        <w:right w:val="none" w:sz="0" w:space="0" w:color="auto"/>
      </w:divBdr>
      <w:divsChild>
        <w:div w:id="338504553">
          <w:marLeft w:val="1440"/>
          <w:marRight w:val="0"/>
          <w:marTop w:val="240"/>
          <w:marBottom w:val="120"/>
          <w:divBdr>
            <w:top w:val="none" w:sz="0" w:space="0" w:color="auto"/>
            <w:left w:val="none" w:sz="0" w:space="0" w:color="auto"/>
            <w:bottom w:val="none" w:sz="0" w:space="0" w:color="auto"/>
            <w:right w:val="none" w:sz="0" w:space="0" w:color="auto"/>
          </w:divBdr>
        </w:div>
        <w:div w:id="1700427505">
          <w:marLeft w:val="1440"/>
          <w:marRight w:val="0"/>
          <w:marTop w:val="240"/>
          <w:marBottom w:val="120"/>
          <w:divBdr>
            <w:top w:val="none" w:sz="0" w:space="0" w:color="auto"/>
            <w:left w:val="none" w:sz="0" w:space="0" w:color="auto"/>
            <w:bottom w:val="none" w:sz="0" w:space="0" w:color="auto"/>
            <w:right w:val="none" w:sz="0" w:space="0" w:color="auto"/>
          </w:divBdr>
        </w:div>
      </w:divsChild>
    </w:div>
    <w:div w:id="1013800782">
      <w:bodyDiv w:val="1"/>
      <w:marLeft w:val="0"/>
      <w:marRight w:val="0"/>
      <w:marTop w:val="0"/>
      <w:marBottom w:val="0"/>
      <w:divBdr>
        <w:top w:val="none" w:sz="0" w:space="0" w:color="auto"/>
        <w:left w:val="none" w:sz="0" w:space="0" w:color="auto"/>
        <w:bottom w:val="none" w:sz="0" w:space="0" w:color="auto"/>
        <w:right w:val="none" w:sz="0" w:space="0" w:color="auto"/>
      </w:divBdr>
    </w:div>
    <w:div w:id="13149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D30D2A.1993F1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cnmed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Waley</dc:creator>
  <cp:keywords/>
  <cp:lastModifiedBy>Scott Beckman</cp:lastModifiedBy>
  <cp:revision>4</cp:revision>
  <cp:lastPrinted>2017-05-24T19:48:00Z</cp:lastPrinted>
  <dcterms:created xsi:type="dcterms:W3CDTF">2017-08-08T16:34:00Z</dcterms:created>
  <dcterms:modified xsi:type="dcterms:W3CDTF">2017-08-11T16:33:00Z</dcterms:modified>
</cp:coreProperties>
</file>